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bidi w:val="0"/>
        <w:spacing w:lineRule="auto" w:line="300" w:before="0" w:after="200"/>
        <w:jc w:val="left"/>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t>Ondřej Meca, Smrková 964/14, 312 00, Plzeň-město</w:t>
        <w:br/>
        <w:tab/>
        <w:tab/>
        <w:t>Tel. č. +420 776 264 773</w:t>
        <w:br/>
        <w:tab/>
        <w:tab/>
        <w:t>Email: info@arcanium.cz</w:t>
      </w:r>
    </w:p>
    <w:p>
      <w:pPr>
        <w:pStyle w:val="Normal"/>
        <w:bidi w:val="0"/>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596"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r>
        <w:trPr>
          <w:trHeight w:val="795" w:hRule="atLeast"/>
        </w:trPr>
        <w:tc>
          <w:tcPr>
            <w:tcW w:w="3395" w:type="dxa"/>
            <w:tcBorders/>
          </w:tcPr>
          <w:p>
            <w:pPr>
              <w:pStyle w:val="Normal"/>
              <w:widowControl/>
              <w:suppressAutoHyphens w:val="true"/>
              <w:bidi w:val="0"/>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suppressAutoHyphens w:val="true"/>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tc>
      </w:tr>
    </w:tbl>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t>Je-li kupující spotřebitelem má právo v případě, že objednal zboží prostřednictvím e-shopu společnosti Ondřej Meca, IČ 04276604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bidi w:val="0"/>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bidi w:val="0"/>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bidi w:val="0"/>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t>Datum:</w:t>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tab/>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 w:cstheme="minorBidi" w:ascii="Calibri" w:hAnsi="Calibri"/>
          <w:spacing w:val="2"/>
          <w:sz w:val="20"/>
          <w:szCs w:val="20"/>
        </w:rPr>
        <w:t>Podpis:</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s-CZ"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LibreOffice/25.2.6.2$Windows_X86_64 LibreOffice_project/729c5bfe710f5eb71ed3bbde9e06a6065e9c6c5d</Application>
  <AppVersion>15.0000</AppVersion>
  <Pages>1</Pages>
  <Words>311</Words>
  <Characters>1849</Characters>
  <CharactersWithSpaces>2154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2025-11-26T10:34:55Z</dcterms:created>
  <dc:creator/>
  <dc:description/>
  <dc:language>cs-CZ</dc:language>
  <cp:lastModifiedBy/>
  <dcterms:modified xsi:type="dcterms:W3CDTF">2025-11-26T10:35:31Z</dcterms:modified>
  <cp:revision>1</cp:revision>
  <dc:subject/>
  <dc:title/>
</cp:coreProperties>
</file>